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B8DD5" w14:textId="0D0D6947" w:rsidR="005A4435" w:rsidRDefault="00C06FF6">
      <w:r>
        <w:t>Oxford 100 Etch</w:t>
      </w:r>
      <w:r w:rsidR="004A3091">
        <w:t xml:space="preserve"> Processes and Repeatability in the Utah </w:t>
      </w:r>
      <w:proofErr w:type="spellStart"/>
      <w:r w:rsidR="004A3091">
        <w:t>nanofab</w:t>
      </w:r>
      <w:proofErr w:type="spellEnd"/>
    </w:p>
    <w:p w14:paraId="568C7FCA" w14:textId="77777777" w:rsidR="00C06FF6" w:rsidRDefault="00C06FF6"/>
    <w:p w14:paraId="670F4EA8" w14:textId="6F59F57C" w:rsidR="00C06FF6" w:rsidRDefault="00C06FF6">
      <w:r>
        <w:t xml:space="preserve">Is it reasonable to expect that using the same etch recipe on the Oxford 100 will always deliver the same results? </w:t>
      </w:r>
      <w:r w:rsidR="00E329AC">
        <w:t xml:space="preserve"> </w:t>
      </w:r>
      <w:r w:rsidR="00E329AC" w:rsidRPr="00E329AC">
        <w:rPr>
          <w:b/>
        </w:rPr>
        <w:t>NO!</w:t>
      </w:r>
    </w:p>
    <w:p w14:paraId="394D0855" w14:textId="76FC30FE" w:rsidR="004A3091" w:rsidRDefault="00E329AC">
      <w:r>
        <w:t>The Oxford 100 is a multi-purpose etcher currently supporting many different processes and etching needs. Please see the chart below that represents use for 2015.</w:t>
      </w:r>
    </w:p>
    <w:p w14:paraId="6D4A5450" w14:textId="77777777" w:rsidR="00E329AC" w:rsidRDefault="00E329AC"/>
    <w:p w14:paraId="049D1981" w14:textId="1F03CBF4" w:rsidR="00E329AC" w:rsidRDefault="00E329AC">
      <w:r>
        <w:rPr>
          <w:noProof/>
        </w:rPr>
        <w:drawing>
          <wp:inline distT="0" distB="0" distL="0" distR="0" wp14:anchorId="6FB4098F" wp14:editId="68DF9C72">
            <wp:extent cx="5486400" cy="3731895"/>
            <wp:effectExtent l="0" t="0" r="25400" b="273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9E8261C" w14:textId="7FEDC0B3" w:rsidR="00E329AC" w:rsidRDefault="00E329AC">
      <w:r>
        <w:t xml:space="preserve">One or more </w:t>
      </w:r>
      <w:r w:rsidR="00D377C7">
        <w:t xml:space="preserve">of the </w:t>
      </w:r>
      <w:r>
        <w:t>previous process</w:t>
      </w:r>
      <w:r w:rsidR="00D377C7">
        <w:t>es,</w:t>
      </w:r>
      <w:r>
        <w:t xml:space="preserve"> combined with chamber condition are uncontrolled inputs to the process</w:t>
      </w:r>
      <w:r w:rsidR="00D377C7">
        <w:t xml:space="preserve"> specified by the recipe</w:t>
      </w:r>
      <w:r>
        <w:t>.</w:t>
      </w:r>
      <w:r w:rsidR="00D377C7">
        <w:t xml:space="preserve"> The previous process can leave trace amounts of process gasses, reaction gasses and residue on the chamber surfaces. The residue can be in various forms and along with temperature, approximately </w:t>
      </w:r>
      <w:r w:rsidR="00137A02">
        <w:t>determines</w:t>
      </w:r>
      <w:r w:rsidR="00D377C7">
        <w:t xml:space="preserve"> the chamber condition.</w:t>
      </w:r>
      <w:r w:rsidR="00137A02">
        <w:t xml:space="preserve"> Chamber condition determines in large part the outcome of the etch process</w:t>
      </w:r>
    </w:p>
    <w:p w14:paraId="25F47F43" w14:textId="77777777" w:rsidR="00D377C7" w:rsidRDefault="00D377C7"/>
    <w:p w14:paraId="213866AD" w14:textId="6F2D17EC" w:rsidR="0066693B" w:rsidRDefault="0066693B" w:rsidP="0066693B">
      <w:r>
        <w:t>So what sh</w:t>
      </w:r>
      <w:r w:rsidR="00137A02">
        <w:t>ould a user do to minimize the risk to their wafer, based on what prior users have run?</w:t>
      </w:r>
      <w:r>
        <w:t xml:space="preserve"> </w:t>
      </w:r>
    </w:p>
    <w:p w14:paraId="0BC7C2EF" w14:textId="77777777" w:rsidR="0066693B" w:rsidRDefault="0066693B" w:rsidP="0066693B">
      <w:pPr>
        <w:pStyle w:val="ListParagraph"/>
        <w:numPr>
          <w:ilvl w:val="0"/>
          <w:numId w:val="2"/>
        </w:numPr>
      </w:pPr>
      <w:r>
        <w:t xml:space="preserve">Use only approved materials and substrates in each </w:t>
      </w:r>
      <w:proofErr w:type="spellStart"/>
      <w:r>
        <w:t>nanofab</w:t>
      </w:r>
      <w:proofErr w:type="spellEnd"/>
      <w:r>
        <w:t xml:space="preserve"> tool.</w:t>
      </w:r>
    </w:p>
    <w:p w14:paraId="351407F0" w14:textId="1753A4AE" w:rsidR="0066693B" w:rsidRDefault="0066693B" w:rsidP="0066693B">
      <w:pPr>
        <w:pStyle w:val="ListParagraph"/>
        <w:numPr>
          <w:ilvl w:val="0"/>
          <w:numId w:val="2"/>
        </w:numPr>
      </w:pPr>
      <w:r>
        <w:t xml:space="preserve">Provide complete data entries for process, recipe, </w:t>
      </w:r>
      <w:r w:rsidR="00DC49AA">
        <w:t xml:space="preserve">all </w:t>
      </w:r>
      <w:r>
        <w:t>gasses, substrate material/exposed film, time and result. If running multiple wafer</w:t>
      </w:r>
      <w:r w:rsidR="00DC49AA">
        <w:t>s</w:t>
      </w:r>
      <w:r>
        <w:t>, record total time. If running multiple processes record data for etch process (disable and enable - CORAL).</w:t>
      </w:r>
      <w:r w:rsidR="00FB675F">
        <w:t xml:space="preserve"> You need this info from others to make decisions for your process and they need it from you.</w:t>
      </w:r>
    </w:p>
    <w:p w14:paraId="098DF443" w14:textId="38E4A50B" w:rsidR="0066693B" w:rsidRDefault="0066693B" w:rsidP="0066693B">
      <w:pPr>
        <w:pStyle w:val="ListParagraph"/>
        <w:numPr>
          <w:ilvl w:val="0"/>
          <w:numId w:val="2"/>
        </w:numPr>
      </w:pPr>
      <w:r>
        <w:t>Users should access prior</w:t>
      </w:r>
      <w:r w:rsidR="00FB675F">
        <w:t xml:space="preserve"> run</w:t>
      </w:r>
      <w:r>
        <w:t xml:space="preserve"> data</w:t>
      </w:r>
      <w:r w:rsidR="00FB675F">
        <w:t xml:space="preserve"> to assess potential impact, see </w:t>
      </w:r>
      <w:hyperlink r:id="rId7" w:history="1">
        <w:r w:rsidR="00FB675F" w:rsidRPr="00FB675F">
          <w:rPr>
            <w:rStyle w:val="Hyperlink"/>
          </w:rPr>
          <w:t>https://coral.nanofab.utah.edu/lab/rundata_reports</w:t>
        </w:r>
      </w:hyperlink>
      <w:proofErr w:type="gramStart"/>
      <w:r w:rsidR="00FB675F" w:rsidRPr="00FB675F">
        <w:t xml:space="preserve"> </w:t>
      </w:r>
      <w:r w:rsidR="00FB675F">
        <w:t xml:space="preserve"> available</w:t>
      </w:r>
      <w:proofErr w:type="gramEnd"/>
      <w:r w:rsidR="00FB675F">
        <w:t xml:space="preserve"> on the website</w:t>
      </w:r>
      <w:r>
        <w:t>.</w:t>
      </w:r>
    </w:p>
    <w:p w14:paraId="25E072FA" w14:textId="77777777" w:rsidR="0066693B" w:rsidRDefault="0066693B" w:rsidP="0066693B">
      <w:pPr>
        <w:pStyle w:val="ListParagraph"/>
        <w:numPr>
          <w:ilvl w:val="0"/>
          <w:numId w:val="2"/>
        </w:numPr>
      </w:pPr>
      <w:r>
        <w:t>If the previous process was not the same as yours, consider running “conditioning run(s)”. In manufacturing, chamber conditioning prior to running product is a standard practice.</w:t>
      </w:r>
    </w:p>
    <w:p w14:paraId="2EA7A2FC" w14:textId="0897E2D9" w:rsidR="0066693B" w:rsidRDefault="0066693B" w:rsidP="0066693B">
      <w:pPr>
        <w:pStyle w:val="ListParagraph"/>
        <w:numPr>
          <w:ilvl w:val="0"/>
          <w:numId w:val="2"/>
        </w:numPr>
      </w:pPr>
      <w:r>
        <w:t xml:space="preserve">Prepare representative process validation sample(s) to verify process result, prior to running more valuable “product”. In manufacturing, running some type of </w:t>
      </w:r>
      <w:r w:rsidR="00451E64">
        <w:t xml:space="preserve">process </w:t>
      </w:r>
      <w:r w:rsidR="00451E64">
        <w:lastRenderedPageBreak/>
        <w:t>validation or “</w:t>
      </w:r>
      <w:proofErr w:type="spellStart"/>
      <w:r w:rsidR="00451E64">
        <w:t>qual</w:t>
      </w:r>
      <w:proofErr w:type="spellEnd"/>
      <w:r w:rsidR="00451E64">
        <w:t xml:space="preserve">” wafer prior to </w:t>
      </w:r>
      <w:r>
        <w:t>product is a</w:t>
      </w:r>
      <w:r w:rsidR="00451E64">
        <w:t>lso a</w:t>
      </w:r>
      <w:r>
        <w:t xml:space="preserve"> standard practice.</w:t>
      </w:r>
      <w:r w:rsidR="00FB675F">
        <w:t xml:space="preserve"> And they don’t have the problem of multiple incompatible processes.</w:t>
      </w:r>
    </w:p>
    <w:p w14:paraId="7AF06D43" w14:textId="19DF0B95" w:rsidR="00451E64" w:rsidRDefault="00451E64" w:rsidP="0066693B">
      <w:pPr>
        <w:pStyle w:val="ListParagraph"/>
        <w:numPr>
          <w:ilvl w:val="0"/>
          <w:numId w:val="2"/>
        </w:numPr>
      </w:pPr>
      <w:r>
        <w:t xml:space="preserve">Talk to </w:t>
      </w:r>
      <w:proofErr w:type="spellStart"/>
      <w:r>
        <w:t>n</w:t>
      </w:r>
      <w:r w:rsidR="00E52FEA">
        <w:t>anofab</w:t>
      </w:r>
      <w:proofErr w:type="spellEnd"/>
      <w:r w:rsidR="00E52FEA">
        <w:t xml:space="preserve"> staff about chamber conditioning and </w:t>
      </w:r>
      <w:r>
        <w:t>simple way</w:t>
      </w:r>
      <w:r w:rsidR="00E52FEA">
        <w:t>s</w:t>
      </w:r>
      <w:r>
        <w:t xml:space="preserve"> to make validation sample</w:t>
      </w:r>
      <w:r w:rsidR="00E52FEA">
        <w:t>s</w:t>
      </w:r>
      <w:r w:rsidR="0066693B">
        <w:t xml:space="preserve"> </w:t>
      </w:r>
    </w:p>
    <w:p w14:paraId="36206133" w14:textId="1CCC2135" w:rsidR="0083240B" w:rsidRDefault="0083240B" w:rsidP="0066693B">
      <w:pPr>
        <w:pStyle w:val="ListParagraph"/>
        <w:numPr>
          <w:ilvl w:val="0"/>
          <w:numId w:val="2"/>
        </w:numPr>
      </w:pPr>
      <w:r>
        <w:t>Conditioning wafers and validation samples also provide a means of veri</w:t>
      </w:r>
      <w:r w:rsidR="004E3397">
        <w:t>fying the wafer handling of the Oxford 100 prior to committing product.</w:t>
      </w:r>
      <w:r w:rsidR="00E52FEA">
        <w:t xml:space="preserve"> This minimizes risk of breaking the wafer you have spent weeks developing.</w:t>
      </w:r>
    </w:p>
    <w:p w14:paraId="383DBD0A" w14:textId="77777777" w:rsidR="00451E64" w:rsidRDefault="00451E64" w:rsidP="00451E64">
      <w:pPr>
        <w:pStyle w:val="ListParagraph"/>
      </w:pPr>
    </w:p>
    <w:p w14:paraId="78EEFDA6" w14:textId="7921C94E" w:rsidR="00A26D65" w:rsidRDefault="0066693B">
      <w:r>
        <w:t xml:space="preserve">In some cases a mechanical or chemical chamber clean by staff may be required to return a process chamber to a state where conditioning can be effective. </w:t>
      </w:r>
      <w:r w:rsidR="00451E64">
        <w:t>Compared to MEB</w:t>
      </w:r>
      <w:r w:rsidR="00E52FEA">
        <w:t xml:space="preserve"> use</w:t>
      </w:r>
      <w:r w:rsidR="00451E64">
        <w:t xml:space="preserve"> the frequency of chamber cleans has increased 5-10 x, so </w:t>
      </w:r>
      <w:proofErr w:type="spellStart"/>
      <w:r w:rsidR="00451E64">
        <w:t>nanofab</w:t>
      </w:r>
      <w:proofErr w:type="spellEnd"/>
      <w:r w:rsidR="00451E64">
        <w:t xml:space="preserve"> staff </w:t>
      </w:r>
      <w:r w:rsidR="00E52FEA">
        <w:t>are</w:t>
      </w:r>
      <w:r w:rsidR="00451E64">
        <w:t xml:space="preserve"> actively attempting to mitigate the results of use as a multi-process etch system. </w:t>
      </w:r>
      <w:r w:rsidR="00DC49AA">
        <w:t>A challenge in assessing chamber condition is that we can’t see anything without venting and physically opening the chamber</w:t>
      </w:r>
      <w:r w:rsidR="00E52FEA">
        <w:t>.</w:t>
      </w:r>
    </w:p>
    <w:p w14:paraId="23C5660A" w14:textId="77777777" w:rsidR="00E52FEA" w:rsidRDefault="00E52FEA"/>
    <w:p w14:paraId="4FB17E1B" w14:textId="20349FF6" w:rsidR="00E52FEA" w:rsidRDefault="00E52FEA">
      <w:r>
        <w:t>Chamber condition guidelines:</w:t>
      </w:r>
    </w:p>
    <w:p w14:paraId="72616187" w14:textId="2095BA1D" w:rsidR="00E35A32" w:rsidRDefault="00E35A32" w:rsidP="00E35A32">
      <w:pPr>
        <w:pStyle w:val="ListParagraph"/>
        <w:numPr>
          <w:ilvl w:val="0"/>
          <w:numId w:val="3"/>
        </w:numPr>
      </w:pPr>
      <w:r>
        <w:t>Polymer building processes – The C4F8 based DRIE processes build a polymer layer to protect the etch structure sidewalls and also deposit a relatively dense polymer on the chamber. Other etch gas combinations</w:t>
      </w:r>
      <w:r w:rsidR="008B4F41">
        <w:t xml:space="preserve"> that tend to provide sidewall etch protection may produce chamber deposits but typically not as dense and of different compositions according to the gasses and reactions.</w:t>
      </w:r>
    </w:p>
    <w:p w14:paraId="440C2289" w14:textId="561E21CA" w:rsidR="008B4F41" w:rsidRDefault="008B4F41" w:rsidP="00E35A32">
      <w:pPr>
        <w:pStyle w:val="ListParagraph"/>
        <w:numPr>
          <w:ilvl w:val="0"/>
          <w:numId w:val="3"/>
        </w:numPr>
      </w:pPr>
      <w:r>
        <w:t>The C4F8 based DRIE processes comprise about 30% of use so the presence of a polymer layer on the chamber is likely.</w:t>
      </w:r>
    </w:p>
    <w:p w14:paraId="370BADFA" w14:textId="42979428" w:rsidR="008B4F41" w:rsidRDefault="008B4F41" w:rsidP="00E35A32">
      <w:pPr>
        <w:pStyle w:val="ListParagraph"/>
        <w:numPr>
          <w:ilvl w:val="0"/>
          <w:numId w:val="3"/>
        </w:numPr>
      </w:pPr>
      <w:r>
        <w:t xml:space="preserve">Polymer “destroying” processes – Physical etches such as </w:t>
      </w:r>
      <w:proofErr w:type="spellStart"/>
      <w:r>
        <w:t>Ar</w:t>
      </w:r>
      <w:proofErr w:type="spellEnd"/>
      <w:r>
        <w:t xml:space="preserve"> and others with aggressive ion bombardment tend to heat up the </w:t>
      </w:r>
      <w:r w:rsidR="008C5701">
        <w:t>chamber surfaces and can cause any chamber deposits (films) to char and flake in the more extreme uses and long duration etches.</w:t>
      </w:r>
    </w:p>
    <w:p w14:paraId="747EE156" w14:textId="78D182FF" w:rsidR="008C5701" w:rsidRDefault="008C5701" w:rsidP="00E35A32">
      <w:pPr>
        <w:pStyle w:val="ListParagraph"/>
        <w:numPr>
          <w:ilvl w:val="0"/>
          <w:numId w:val="3"/>
        </w:numPr>
      </w:pPr>
      <w:r>
        <w:t xml:space="preserve">The O2 and O2 containing etches along with SF6 etches tend to leave a white dusty material on the surface, which appears to be a combination of breaking down the C4F8 based </w:t>
      </w:r>
      <w:r w:rsidR="004A7FD4">
        <w:t xml:space="preserve">polymer </w:t>
      </w:r>
      <w:r>
        <w:t xml:space="preserve">films and in some cases some deposition of a </w:t>
      </w:r>
      <w:r w:rsidR="004A7FD4">
        <w:t>low density deposit. The material does not have enough cohesive strength to support a subsequent C4F8 based polymer film of any significant accumulation.</w:t>
      </w:r>
    </w:p>
    <w:p w14:paraId="5654246B" w14:textId="09D2F066" w:rsidR="00CA4E80" w:rsidRDefault="00CA4E80" w:rsidP="00E35A32">
      <w:pPr>
        <w:pStyle w:val="ListParagraph"/>
        <w:numPr>
          <w:ilvl w:val="0"/>
          <w:numId w:val="3"/>
        </w:numPr>
      </w:pPr>
      <w:r>
        <w:t>Temperature – The chuck temperature can be monitored and set to achieve desired process temperature for the wafer. The chamber is not monitored but for consistent results should be at a stable temperature. For the polymer “destroying” physical etches, it may require runnin</w:t>
      </w:r>
      <w:r w:rsidR="0088521B">
        <w:t>g conditioning wafer(s) for the chamber to heat and reach an equilibrium temperature.</w:t>
      </w:r>
    </w:p>
    <w:p w14:paraId="47A2F9BF" w14:textId="1501104C" w:rsidR="0088521B" w:rsidRDefault="0088521B" w:rsidP="0088521B">
      <w:pPr>
        <w:pStyle w:val="ListParagraph"/>
        <w:numPr>
          <w:ilvl w:val="0"/>
          <w:numId w:val="3"/>
        </w:numPr>
      </w:pPr>
      <w:r>
        <w:t>Mechanical chamber clean – Frequently required to get adequate adhesion for a new C4F8 based film or if flakes or particles are observed on wafers after etch.</w:t>
      </w:r>
      <w:r w:rsidR="0083240B">
        <w:t xml:space="preserve"> A mechanical chamber clean is a dirty process for a cleanroom environment and therefore, </w:t>
      </w:r>
      <w:r w:rsidR="00E52FEA">
        <w:t>minimiz</w:t>
      </w:r>
      <w:r w:rsidR="0083240B">
        <w:t xml:space="preserve">ed </w:t>
      </w:r>
      <w:r w:rsidR="00E52FEA">
        <w:t xml:space="preserve">to </w:t>
      </w:r>
      <w:r w:rsidR="0083240B">
        <w:t>the need. The clean does not replace conditioning but rather puts the chamber is a state where conditioning can be effective.</w:t>
      </w:r>
    </w:p>
    <w:p w14:paraId="5253ECA7" w14:textId="77777777" w:rsidR="0088521B" w:rsidRDefault="0088521B" w:rsidP="0088521B">
      <w:pPr>
        <w:pStyle w:val="ListParagraph"/>
      </w:pPr>
    </w:p>
    <w:p w14:paraId="7B517BF7" w14:textId="77777777" w:rsidR="004E6855" w:rsidRDefault="00A9441A" w:rsidP="004C6771">
      <w:r w:rsidRPr="00A9441A">
        <w:t xml:space="preserve">Cost and efficiency are primary drivers for </w:t>
      </w:r>
      <w:proofErr w:type="gramStart"/>
      <w:r w:rsidRPr="00A9441A">
        <w:t>industry,</w:t>
      </w:r>
      <w:proofErr w:type="gramEnd"/>
      <w:r w:rsidRPr="00A9441A">
        <w:t xml:space="preserve"> they don't waste manpower or equipment time. From an overall </w:t>
      </w:r>
      <w:proofErr w:type="spellStart"/>
      <w:r w:rsidRPr="00A9441A">
        <w:t>nanofab</w:t>
      </w:r>
      <w:proofErr w:type="spellEnd"/>
      <w:r w:rsidRPr="00A9441A">
        <w:t xml:space="preserve"> project or product view, we should expect </w:t>
      </w:r>
      <w:r>
        <w:t>that running conditioning wafers and validation samples or “</w:t>
      </w:r>
      <w:proofErr w:type="spellStart"/>
      <w:r>
        <w:t>qual</w:t>
      </w:r>
      <w:proofErr w:type="spellEnd"/>
      <w:r>
        <w:t xml:space="preserve">” wafers </w:t>
      </w:r>
      <w:r w:rsidR="00C03B22">
        <w:t xml:space="preserve">will offer </w:t>
      </w:r>
      <w:r w:rsidRPr="00A9441A">
        <w:t xml:space="preserve">better </w:t>
      </w:r>
      <w:r w:rsidR="00C03B22">
        <w:t xml:space="preserve">results and </w:t>
      </w:r>
      <w:r w:rsidRPr="00A9441A">
        <w:t>efficiency</w:t>
      </w:r>
      <w:r w:rsidR="00C03B22">
        <w:t xml:space="preserve"> for </w:t>
      </w:r>
      <w:proofErr w:type="spellStart"/>
      <w:r w:rsidR="00C03B22">
        <w:t>nanofab</w:t>
      </w:r>
      <w:proofErr w:type="spellEnd"/>
      <w:r w:rsidR="00C03B22">
        <w:t xml:space="preserve"> users too.</w:t>
      </w:r>
    </w:p>
    <w:p w14:paraId="6C776528" w14:textId="08B57499" w:rsidR="004E6855" w:rsidRDefault="00AF52E9" w:rsidP="004C6771">
      <w:r>
        <w:t xml:space="preserve">A </w:t>
      </w:r>
      <w:r w:rsidR="004E6855">
        <w:t xml:space="preserve">couple of reminders on use related to </w:t>
      </w:r>
      <w:r>
        <w:t>wafer</w:t>
      </w:r>
      <w:r w:rsidR="004E6855">
        <w:t xml:space="preserve"> breakage:</w:t>
      </w:r>
    </w:p>
    <w:p w14:paraId="0B44E35E" w14:textId="02DC786F" w:rsidR="00AF52E9" w:rsidRDefault="004E6855" w:rsidP="004E6855">
      <w:pPr>
        <w:pStyle w:val="ListParagraph"/>
        <w:numPr>
          <w:ilvl w:val="0"/>
          <w:numId w:val="4"/>
        </w:numPr>
      </w:pPr>
      <w:r w:rsidRPr="004E6855">
        <w:t>Deep or through-waf</w:t>
      </w:r>
      <w:r>
        <w:t xml:space="preserve">er etches can result in cracked or </w:t>
      </w:r>
      <w:r w:rsidRPr="004E6855">
        <w:t>broken wafers, so an aluminum carrier wafer (with high vacuum grease)</w:t>
      </w:r>
      <w:r>
        <w:t xml:space="preserve"> is typically required</w:t>
      </w:r>
      <w:r w:rsidRPr="004E6855">
        <w:t xml:space="preserve"> for these etches to give the wafers mechanical support</w:t>
      </w:r>
      <w:r>
        <w:t>.</w:t>
      </w:r>
    </w:p>
    <w:p w14:paraId="3010B529" w14:textId="0BFFF99F" w:rsidR="004E6855" w:rsidRDefault="004E6855" w:rsidP="004E6855">
      <w:pPr>
        <w:pStyle w:val="ListParagraph"/>
        <w:numPr>
          <w:ilvl w:val="0"/>
          <w:numId w:val="4"/>
        </w:numPr>
      </w:pPr>
      <w:r>
        <w:t>Any user experiencing</w:t>
      </w:r>
      <w:r w:rsidRPr="004E6855">
        <w:t xml:space="preserve"> a wafer breakage (or parts of the wafe</w:t>
      </w:r>
      <w:r>
        <w:t>r remaining inside the chamber)</w:t>
      </w:r>
      <w:r w:rsidRPr="004E6855">
        <w:t xml:space="preserve"> must contact </w:t>
      </w:r>
      <w:proofErr w:type="spellStart"/>
      <w:r w:rsidR="008D15C1">
        <w:t>nanofab</w:t>
      </w:r>
      <w:proofErr w:type="spellEnd"/>
      <w:r w:rsidR="008D15C1">
        <w:t xml:space="preserve"> </w:t>
      </w:r>
      <w:r w:rsidRPr="004E6855">
        <w:t>staff immediately for chamber cleaning. </w:t>
      </w:r>
      <w:r w:rsidR="008D15C1">
        <w:t xml:space="preserve">A shutdown </w:t>
      </w:r>
      <w:r>
        <w:t xml:space="preserve">in coral </w:t>
      </w:r>
      <w:r w:rsidR="008D15C1">
        <w:t>is appropriate to provide the notification and prevent subsequent use until the condition has been corrected.</w:t>
      </w:r>
      <w:bookmarkStart w:id="0" w:name="_GoBack"/>
      <w:bookmarkEnd w:id="0"/>
    </w:p>
    <w:sectPr w:rsidR="004E6855" w:rsidSect="008542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872"/>
    <w:multiLevelType w:val="hybridMultilevel"/>
    <w:tmpl w:val="0352E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7366"/>
    <w:multiLevelType w:val="hybridMultilevel"/>
    <w:tmpl w:val="E734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009AA"/>
    <w:multiLevelType w:val="hybridMultilevel"/>
    <w:tmpl w:val="FA985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7D4"/>
    <w:multiLevelType w:val="hybridMultilevel"/>
    <w:tmpl w:val="C16A8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91"/>
    <w:rsid w:val="00082E4A"/>
    <w:rsid w:val="00137A02"/>
    <w:rsid w:val="0029149B"/>
    <w:rsid w:val="00451E64"/>
    <w:rsid w:val="004A3091"/>
    <w:rsid w:val="004A7FD4"/>
    <w:rsid w:val="004C6771"/>
    <w:rsid w:val="004E3397"/>
    <w:rsid w:val="004E6855"/>
    <w:rsid w:val="004E7FCD"/>
    <w:rsid w:val="00560D7F"/>
    <w:rsid w:val="005A4435"/>
    <w:rsid w:val="005F37ED"/>
    <w:rsid w:val="0066693B"/>
    <w:rsid w:val="00685807"/>
    <w:rsid w:val="006B1C89"/>
    <w:rsid w:val="006D77E6"/>
    <w:rsid w:val="00797B41"/>
    <w:rsid w:val="0083240B"/>
    <w:rsid w:val="00854258"/>
    <w:rsid w:val="0088521B"/>
    <w:rsid w:val="008B4F41"/>
    <w:rsid w:val="008C5701"/>
    <w:rsid w:val="008D15C1"/>
    <w:rsid w:val="00966D7A"/>
    <w:rsid w:val="00985C14"/>
    <w:rsid w:val="00A26D65"/>
    <w:rsid w:val="00A9441A"/>
    <w:rsid w:val="00AF52E9"/>
    <w:rsid w:val="00B171D3"/>
    <w:rsid w:val="00B56B31"/>
    <w:rsid w:val="00BA30A0"/>
    <w:rsid w:val="00BB23C0"/>
    <w:rsid w:val="00C03B22"/>
    <w:rsid w:val="00C06FF6"/>
    <w:rsid w:val="00C82DAF"/>
    <w:rsid w:val="00CA4E80"/>
    <w:rsid w:val="00D377C7"/>
    <w:rsid w:val="00DC49AA"/>
    <w:rsid w:val="00E329AC"/>
    <w:rsid w:val="00E35A32"/>
    <w:rsid w:val="00E52FEA"/>
    <w:rsid w:val="00E91C4B"/>
    <w:rsid w:val="00EC4E8F"/>
    <w:rsid w:val="00F3324A"/>
    <w:rsid w:val="00F91E32"/>
    <w:rsid w:val="00FB48B0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957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hyperlink" Target="https://coral.nanofab.utah.edu/lab/rundata_repor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entrada:Users:spritchett:Documents:Oxford%20100:Etch%20type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Oxford 100 - 2015_x000d_Occurance of Etch Process_x000d_(Future Cl2 &amp; HBr)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Sheet1!$A$2:$A$11</c:f>
              <c:strCache>
                <c:ptCount val="10"/>
                <c:pt idx="0">
                  <c:v>Ar</c:v>
                </c:pt>
                <c:pt idx="1">
                  <c:v>Ar, CF4, O2</c:v>
                </c:pt>
                <c:pt idx="2">
                  <c:v>CF4</c:v>
                </c:pt>
                <c:pt idx="3">
                  <c:v>CF4, O2</c:v>
                </c:pt>
                <c:pt idx="4">
                  <c:v>CHF3</c:v>
                </c:pt>
                <c:pt idx="5">
                  <c:v>O2</c:v>
                </c:pt>
                <c:pt idx="6">
                  <c:v>SF6</c:v>
                </c:pt>
                <c:pt idx="7">
                  <c:v>SF6, Ar</c:v>
                </c:pt>
                <c:pt idx="8">
                  <c:v>SF6, O2</c:v>
                </c:pt>
                <c:pt idx="9">
                  <c:v>SF6 , C4F8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7.0</c:v>
                </c:pt>
                <c:pt idx="1">
                  <c:v>6.0</c:v>
                </c:pt>
                <c:pt idx="2">
                  <c:v>15.0</c:v>
                </c:pt>
                <c:pt idx="3">
                  <c:v>55.0</c:v>
                </c:pt>
                <c:pt idx="4">
                  <c:v>5.0</c:v>
                </c:pt>
                <c:pt idx="5">
                  <c:v>35.0</c:v>
                </c:pt>
                <c:pt idx="6">
                  <c:v>36.0</c:v>
                </c:pt>
                <c:pt idx="7">
                  <c:v>3.0</c:v>
                </c:pt>
                <c:pt idx="8">
                  <c:v>7.0</c:v>
                </c:pt>
                <c:pt idx="9">
                  <c:v>59.0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823</Words>
  <Characters>4693</Characters>
  <Application>Microsoft Macintosh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Pritchett</dc:creator>
  <cp:keywords/>
  <dc:description/>
  <cp:lastModifiedBy>Steve Pritchett</cp:lastModifiedBy>
  <cp:revision>3</cp:revision>
  <cp:lastPrinted>2015-09-24T16:56:00Z</cp:lastPrinted>
  <dcterms:created xsi:type="dcterms:W3CDTF">2015-09-24T18:38:00Z</dcterms:created>
  <dcterms:modified xsi:type="dcterms:W3CDTF">2015-09-24T23:11:00Z</dcterms:modified>
</cp:coreProperties>
</file>